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548E9" w14:textId="77777777" w:rsidR="00B22B20" w:rsidRDefault="00B22B20">
      <w:bookmarkStart w:id="0" w:name="_GoBack"/>
      <w:bookmarkEnd w:id="0"/>
    </w:p>
    <w:p w14:paraId="7F704B3C" w14:textId="77777777" w:rsidR="00B22B20" w:rsidRDefault="00B22B20"/>
    <w:p w14:paraId="20BB2129" w14:textId="77777777" w:rsidR="00B22B20" w:rsidRDefault="00B22B20"/>
    <w:p w14:paraId="39D6E672" w14:textId="77777777" w:rsidR="00B22B20" w:rsidRDefault="00B22B20"/>
    <w:p w14:paraId="12D64E55" w14:textId="77777777" w:rsidR="00B22B20" w:rsidRDefault="00B22B20"/>
    <w:p w14:paraId="6C30957B" w14:textId="77777777" w:rsidR="00B22B20" w:rsidRDefault="00B22B20"/>
    <w:p w14:paraId="1892C5FB" w14:textId="77777777" w:rsidR="00B22B20" w:rsidRDefault="00B22B20"/>
    <w:p w14:paraId="15A785D2" w14:textId="77777777" w:rsidR="00B22B20" w:rsidRDefault="00B22B20"/>
    <w:p w14:paraId="71E89605" w14:textId="77777777" w:rsidR="00B22B20" w:rsidRDefault="00B22B20"/>
    <w:p w14:paraId="05DA6654" w14:textId="77777777" w:rsidR="00B22B20" w:rsidRDefault="00B22B20"/>
    <w:p w14:paraId="24C12B47" w14:textId="77777777" w:rsidR="00B22B20" w:rsidRDefault="00B22B20"/>
    <w:p w14:paraId="77CCEC53" w14:textId="77777777" w:rsidR="00B22B20" w:rsidRDefault="00B22B20"/>
    <w:p w14:paraId="272F2B4F" w14:textId="77777777" w:rsidR="00B22B20" w:rsidRDefault="00B22B20"/>
    <w:p w14:paraId="480CDDCC" w14:textId="37A28195" w:rsidR="00B22B20" w:rsidRDefault="008153F8" w:rsidP="00B22B20">
      <w:pPr>
        <w:jc w:val="center"/>
      </w:pPr>
      <w:r w:rsidRPr="00B22B20">
        <w:t>Banking Regulations</w:t>
      </w:r>
    </w:p>
    <w:p w14:paraId="23D5E896" w14:textId="39CEA230" w:rsidR="00B22B20" w:rsidRDefault="008153F8" w:rsidP="00B22B20">
      <w:pPr>
        <w:jc w:val="center"/>
      </w:pPr>
      <w:r>
        <w:t>Name</w:t>
      </w:r>
    </w:p>
    <w:p w14:paraId="26CEC9CD" w14:textId="4D7AD80D" w:rsidR="00B22B20" w:rsidRDefault="008153F8" w:rsidP="00B22B20">
      <w:pPr>
        <w:jc w:val="center"/>
      </w:pPr>
      <w:r>
        <w:t>Institution</w:t>
      </w:r>
    </w:p>
    <w:p w14:paraId="60CAF80F" w14:textId="7CBF4682" w:rsidR="00B22B20" w:rsidRDefault="00B22B20"/>
    <w:p w14:paraId="5100D69F" w14:textId="28367318" w:rsidR="00B22B20" w:rsidRDefault="00B22B20"/>
    <w:p w14:paraId="4BEA37AF" w14:textId="736717DA" w:rsidR="00B22B20" w:rsidRDefault="00B22B20"/>
    <w:p w14:paraId="550AF9E2" w14:textId="21213E53" w:rsidR="00B22B20" w:rsidRDefault="00B22B20"/>
    <w:p w14:paraId="1360CD39" w14:textId="03ADB9BC" w:rsidR="00B22B20" w:rsidRDefault="00B22B20"/>
    <w:p w14:paraId="3ABB135A" w14:textId="35E2240F" w:rsidR="00B22B20" w:rsidRDefault="00B22B20"/>
    <w:p w14:paraId="3F8E2E6A" w14:textId="4C975F9D" w:rsidR="00B22B20" w:rsidRDefault="00B22B20"/>
    <w:p w14:paraId="663BF255" w14:textId="24CCA117" w:rsidR="00B22B20" w:rsidRDefault="00B22B20"/>
    <w:p w14:paraId="594CACA5" w14:textId="6D88261B" w:rsidR="00B22B20" w:rsidRDefault="00B22B20"/>
    <w:p w14:paraId="1B2AD6CB" w14:textId="557EDC52" w:rsidR="00B22B20" w:rsidRDefault="00B22B20"/>
    <w:p w14:paraId="7ED726ED" w14:textId="1EFD5CF1" w:rsidR="00B22B20" w:rsidRDefault="00B22B20"/>
    <w:p w14:paraId="78E3535A" w14:textId="4401A0AD" w:rsidR="00B22B20" w:rsidRDefault="00B22B20"/>
    <w:p w14:paraId="0D7DE5CA" w14:textId="77777777" w:rsidR="00B22B20" w:rsidRDefault="00B22B20"/>
    <w:p w14:paraId="103FB8B8" w14:textId="77777777" w:rsidR="00B22B20" w:rsidRDefault="00B22B20"/>
    <w:p w14:paraId="21632E22" w14:textId="5CC164EF" w:rsidR="0088097C" w:rsidRDefault="008153F8" w:rsidP="00F3618A">
      <w:pPr>
        <w:spacing w:line="480" w:lineRule="auto"/>
        <w:ind w:firstLine="720"/>
        <w:jc w:val="both"/>
      </w:pPr>
      <w:r>
        <w:lastRenderedPageBreak/>
        <w:t xml:space="preserve">The banking industry has transformed in recent years with the integration of important factors which have focused on ensuring that there is better organization and quality service </w:t>
      </w:r>
      <w:r>
        <w:t>delivery amid the increasing challenges in banking service delivery. Bank regulations are a form</w:t>
      </w:r>
      <w:r w:rsidR="009B7C6D">
        <w:t xml:space="preserve"> </w:t>
      </w:r>
      <w:r>
        <w:t>o</w:t>
      </w:r>
      <w:r w:rsidR="009B7C6D">
        <w:t>f</w:t>
      </w:r>
      <w:r>
        <w:t xml:space="preserve"> federal guidelines which are put in place within a given environment to help create a strong focus on the existing factors that have a significant influence</w:t>
      </w:r>
      <w:r>
        <w:t xml:space="preserve"> on its operations. Banks operate with specific guidelines which must be effectively considered in ensuring that there is a better operational platform</w:t>
      </w:r>
      <w:r w:rsidR="00F3618A">
        <w:t xml:space="preserve"> </w:t>
      </w:r>
      <w:r w:rsidR="00F3618A">
        <w:fldChar w:fldCharType="begin" w:fldLock="1"/>
      </w:r>
      <w:r w:rsidR="00F3618A">
        <w:instrText>ADDIN CSL_CITATION {"citationItems":[{"id":"ITEM-1","itemData":{"DOI":"10.1093/oxfordhb/9780199640935.013.0031","ISBN":"9780191749506","ISSN":"00987921","abstract":"The Population Reference Bureau INFORMS people around the world about population, health, and the environment, and EMPOWERS them to use that information to ADVANCE the well-being of current and future generations.","author":[{"dropping-particle":"","family":"DeYoung","given":"Robert","non-dropping-particle":"","parse-names":false,"suffix":""}],"container-title":"The Oxford Handbook of Banking","id":"ITEM-1","issued":{"date-parts":[["2012"]]},"title":"Banking in the United States","type":"chapter"},"uris":["http://www.mendeley.com/documents/?uuid=14804115-1c5b-4f7d-9039-697e8b3b98bd","http://www.mendeley.com/documents/?uuid=275cef8b-bcb4-474b-92b8-d3bbc09343f7"]}],"mendeley":{"formattedCitation":"(DeYoung, 2012)","plainTextFormattedCitation":"(DeYoung, 2012)","previouslyFormattedCitation":"(DeYoung, 2012)"},"properties":{"noteIndex":0},"schema":"https://github.com/citation-style-language/schema/raw/master/csl-citation.json"}</w:instrText>
      </w:r>
      <w:r w:rsidR="00F3618A">
        <w:fldChar w:fldCharType="separate"/>
      </w:r>
      <w:r w:rsidR="00F3618A" w:rsidRPr="00F3618A">
        <w:rPr>
          <w:noProof/>
        </w:rPr>
        <w:t>(DeYoung, 2012)</w:t>
      </w:r>
      <w:r w:rsidR="00F3618A">
        <w:fldChar w:fldCharType="end"/>
      </w:r>
      <w:r>
        <w:t>. The ba</w:t>
      </w:r>
      <w:r>
        <w:t>nking industry is susceptible and operates a high risk which provides a robust evaluation of important changes which define a highly successful operational environment. Thus understanding the banking regulations that have been incorporated into banking ope</w:t>
      </w:r>
      <w:r>
        <w:t>rations is essential in creating a highly conducive operational context.</w:t>
      </w:r>
    </w:p>
    <w:p w14:paraId="75F866DB" w14:textId="1D40D1BA" w:rsidR="0004083F" w:rsidRDefault="008153F8" w:rsidP="00F3618A">
      <w:pPr>
        <w:spacing w:line="480" w:lineRule="auto"/>
        <w:ind w:firstLine="720"/>
        <w:jc w:val="both"/>
      </w:pPr>
      <w:r>
        <w:t xml:space="preserve">Bank regulation is prominent in helping ensure that the </w:t>
      </w:r>
      <w:r w:rsidR="009B7C6D">
        <w:t>economy</w:t>
      </w:r>
      <w:r>
        <w:t xml:space="preserve"> remains steady considering the role of banks during a time of crisis</w:t>
      </w:r>
      <w:r w:rsidR="005025B6">
        <w:t>. Thus ensuring that there are better regulations that help provide a strong emphasis on vital changes.  This, in turn, helps create a strong prominence on key changes which help maintain a highly successful operational context. The banks are regulated at both federal and state level aimed at achieving high lev success. The banking regulations focus on specific concepts which are essential and help define a highly successful organizational development</w:t>
      </w:r>
      <w:r w:rsidR="00F3618A">
        <w:t xml:space="preserve"> </w:t>
      </w:r>
      <w:r w:rsidR="00F3618A">
        <w:fldChar w:fldCharType="begin" w:fldLock="1"/>
      </w:r>
      <w:r w:rsidR="00F3618A">
        <w:instrText>ADDIN CSL_CITATION {"citationItems":[{"id":"ITEM-1","itemData":{"DOI":"10.18288/1994-5124-2016-4-01","ISSN":"19945124","abstract":"Why are banking systems unstable in so many countries but not in others? The United States has had twelve systemic banking crises since 1840, while Canada has had none. The banking systems of Mexico and Brazil have not only been crisis prone but have provided miniscule amounts of credit to business enterprises and households. Analyzing the political and banking history of the United Kingdom, the United States, Canada, Mexico, and Brazil through several centuries, Fragile by Design demonstrates that chronic banking crises and scarce credit are not accidents. Calomiris and Haber combine political history and economics to examine how coalitions of politicians, bankers, and other interest groups form, why they endure, and how they generate policies that determine who gets to be a banker, who has access to credit, and who pays for bank bailouts and rescues","author":[{"dropping-particle":"","family":"","given":"","non-dropping-particle":"","parse-names":false,"suffix":""},{"dropping-particle":"","family":"Calomiris","given":"Charles W.","non-dropping-particle":"","parse-names":false,"suffix":""},{"dropping-particle":"","family":"Haber","given":"Stephen H.","non-dropping-particle":"","parse-names":false,"suffix":""}],"container-title":"Economic Policy (in Russian)","id":"ITEM-1","issued":{"date-parts":[["2017"]]},"title":"Fragile by design: The Political Origins of Banking Crises and Scarce Credit","type":"article-journal"},"uris":["http://www.mendeley.com/documents/?uuid=3be5412b-d7eb-4392-a98c-49aa8d07ed7e","http://www.mendeley.com/documents/?uuid=ab231c57-fcd3-4308-86f3-2880c608b409"]}],"mendeley":{"formattedCitation":"(Calomiris &amp; Haber, 2017)","plainTextFormattedCitation":"(Calomiris &amp; Haber, 2017)","previouslyFormattedCitation":"(Calomiris &amp; Haber, 2017)"},"properties":{"noteIndex":0},"schema":"https://github.com/citation-style-language/schema/raw/master/csl-citation.json"}</w:instrText>
      </w:r>
      <w:r w:rsidR="00F3618A">
        <w:fldChar w:fldCharType="separate"/>
      </w:r>
      <w:r w:rsidR="00F3618A" w:rsidRPr="00F3618A">
        <w:rPr>
          <w:noProof/>
        </w:rPr>
        <w:t>(Calomiris &amp; Haber, 2017)</w:t>
      </w:r>
      <w:r w:rsidR="00F3618A">
        <w:fldChar w:fldCharType="end"/>
      </w:r>
      <w:r w:rsidR="005025B6">
        <w:t xml:space="preserve">. It is important to understand key aspects that need to be considered in achieving an improved level of  success understanding the underlying organizational development. The United States banking regulation addresses privacy, fraud prevention, </w:t>
      </w:r>
      <w:r w:rsidR="009B7C6D">
        <w:t>anti-money</w:t>
      </w:r>
      <w:r w:rsidR="005025B6">
        <w:t xml:space="preserve"> laundering, antiterrorism, promotion of lending to lower income </w:t>
      </w:r>
      <w:r w:rsidR="0010354B">
        <w:t>earners</w:t>
      </w:r>
      <w:r w:rsidR="005025B6">
        <w:t xml:space="preserve">, </w:t>
      </w:r>
      <w:r w:rsidR="0010354B">
        <w:t>anti-usury</w:t>
      </w:r>
      <w:r w:rsidR="005025B6">
        <w:t xml:space="preserve"> and maintaining favorable banking operations through ensuring that they attain minimum requirements.</w:t>
      </w:r>
    </w:p>
    <w:p w14:paraId="1A10C36F" w14:textId="646C3023" w:rsidR="0010354B" w:rsidRDefault="008153F8" w:rsidP="00F3618A">
      <w:pPr>
        <w:spacing w:line="480" w:lineRule="auto"/>
        <w:ind w:firstLine="720"/>
        <w:jc w:val="both"/>
      </w:pPr>
      <w:r>
        <w:t>The integration of technology has played an instrumental role in creating a  transformed environment where it is possible to maintain a highly successful operati</w:t>
      </w:r>
      <w:r>
        <w:t xml:space="preserve">onal context. Defining </w:t>
      </w:r>
      <w:r>
        <w:lastRenderedPageBreak/>
        <w:t xml:space="preserve">a successful environment provide a strong emphasis on salient factors which help keep a highly successful business environment. </w:t>
      </w:r>
      <w:r w:rsidRPr="0010354B">
        <w:t>Technology has brought about major changes in all areas of development spurring a massive turnaround in p</w:t>
      </w:r>
      <w:r w:rsidRPr="0010354B">
        <w:t>roductivity. The banking sector has seen enormous growth that can solely be attributed to technological advancements. Online banking is the latest advancement that is taking over the banking industry. Many banking firms are considering setting up online pl</w:t>
      </w:r>
      <w:r w:rsidRPr="0010354B">
        <w:t>atforms to remain competitive or have an edge over their competitors</w:t>
      </w:r>
      <w:r w:rsidR="00F3618A">
        <w:t xml:space="preserve"> </w:t>
      </w:r>
      <w:r w:rsidR="00F3618A">
        <w:fldChar w:fldCharType="begin" w:fldLock="1"/>
      </w:r>
      <w:r w:rsidR="00F3618A">
        <w:instrText>ADDIN CSL_CITATION {"citationItems":[{"id":"ITEM-1","itemData":{"abstract":"The Code of Federal Regulations is the codification of the general and permanent rules published in the Federal Register by the executive departments and agencies of the Federal Government.","author":[{"dropping-particle":"","family":"United States","given":"Division of the Federal Register","non-dropping-particle":"","parse-names":false,"suffix":""}],"container-title":"U.S. Government Printing Office","id":"ITEM-1","issued":{"date-parts":[["2017"]]},"title":"The Code of Federal Regulations of the United States of America","type":"article"},"uris":["http://www.mendeley.com/documents/?uuid=2d3b996f-dbca-4752-b3b0-dae367da5339","http://www.mendeley.com/documents/?uuid=25243734-f7ef-4c96-9011-4e772eb2db95"]}],"mendeley":{"formattedCitation":"(United States, 2017)","plainTextFormattedCitation":"(United States, 2017)","previouslyFormattedCitation":"(United States, 2017)"},"properties":{"noteIndex":0},"schema":"https://github.com/citation-style-language/schema/raw/master/csl-citation.json"}</w:instrText>
      </w:r>
      <w:r w:rsidR="00F3618A">
        <w:fldChar w:fldCharType="separate"/>
      </w:r>
      <w:r w:rsidR="00F3618A" w:rsidRPr="00F3618A">
        <w:rPr>
          <w:noProof/>
        </w:rPr>
        <w:t>(United States, 2017)</w:t>
      </w:r>
      <w:r w:rsidR="00F3618A">
        <w:fldChar w:fldCharType="end"/>
      </w:r>
      <w:r w:rsidRPr="0010354B">
        <w:t>.</w:t>
      </w:r>
    </w:p>
    <w:p w14:paraId="376020B3" w14:textId="4FB19C4D" w:rsidR="0010354B" w:rsidRDefault="008153F8" w:rsidP="00F3618A">
      <w:pPr>
        <w:spacing w:line="480" w:lineRule="auto"/>
        <w:ind w:firstLine="720"/>
        <w:jc w:val="both"/>
      </w:pPr>
      <w:r w:rsidRPr="0010354B">
        <w:t>Cybercrimes are managed based in the processes that are developed under which there is a critical understandin</w:t>
      </w:r>
      <w:r w:rsidRPr="0010354B">
        <w:t xml:space="preserve">g of key concepts which define better methods that are integrated within a given organizational context. Cybercrimes involve of illegal activities conducted on a computer, there have been significant traditional illegal activities that have been committed </w:t>
      </w:r>
      <w:r w:rsidRPr="0010354B">
        <w:t>while using a computer, cybercrime is a more sophisticated approach which includes phishing schemes and viruses which are created with the aim of getting critical information from the victim, which will aid in stealing from them.</w:t>
      </w:r>
      <w:r>
        <w:t xml:space="preserve"> Different states have esta</w:t>
      </w:r>
      <w:r>
        <w:t>blished different laws which are aimed at creating a highly transformed environment where it is possible to maintain a highly successful engagement. The banking firms have become increasingly susceptible to information and data breach which require integra</w:t>
      </w:r>
      <w:r>
        <w:t>tion of a secure network system that helps achieve greater organizational success</w:t>
      </w:r>
      <w:r w:rsidR="00F3618A">
        <w:t xml:space="preserve"> </w:t>
      </w:r>
      <w:r w:rsidR="00F3618A">
        <w:fldChar w:fldCharType="begin" w:fldLock="1"/>
      </w:r>
      <w:r w:rsidR="00F3618A">
        <w:instrText>ADDIN CSL_CITATION {"citationItems":[{"id":"ITEM-1","itemData":{"DOI":"10.1057/imfer.2012.6","ISSN":"20414161","abstract":"European global banks intermediating US dollar funds are important in influencing credit conditions in the United States. US dollar-denominated assets of banks outside the US are comparable in size to the total assets of the US commercial bank sector, but the large gross cross-border positions are masked by the netting out of the gross assets and liabilities. As a consequence, current account imbalances do not reflect the influence of gross capital flows on US financial conditions. This paper pieces together evidence from aglobal flow of funds analysis, and develops a theoretical model linking global banks and US loan risk premiums. The culprit for the easy credit conditions in the United States up to 2007 may have been the “Global Banking Glut” rather than the “Global Savings Glut”.","author":[{"dropping-particle":"","family":"Shin","given":"Hyun Song","non-dropping-particle":"","parse-names":false,"suffix":""}],"container-title":"IMF Economic Review","id":"ITEM-1","issued":{"date-parts":[["2012"]]},"title":"Global banking glut and loan risk premium","type":"article"},"uris":["http://www.mendeley.com/documents/?uuid=c1dc390c-3e02-4dc8-871a-edea31787233","http://www.mendeley.com/documents/?uuid=42feff72-159b-423c-b146-9aca1f18750a"]}],"mendeley":{"formattedCitation":"(Shin, 2012)","plainTextFormattedCitation":"(Shin, 2012)","previouslyFormattedCitation":"(Shin, 2012)"},"properties":{"noteIndex":0},"schema":"https://github.com/citation-style-language/schema/raw/master/csl-citation.json"}</w:instrText>
      </w:r>
      <w:r w:rsidR="00F3618A">
        <w:fldChar w:fldCharType="separate"/>
      </w:r>
      <w:r w:rsidR="00F3618A" w:rsidRPr="00F3618A">
        <w:rPr>
          <w:noProof/>
        </w:rPr>
        <w:t>(Shin, 2012)</w:t>
      </w:r>
      <w:r w:rsidR="00F3618A">
        <w:fldChar w:fldCharType="end"/>
      </w:r>
      <w:r>
        <w:t>.</w:t>
      </w:r>
    </w:p>
    <w:p w14:paraId="2D24A237" w14:textId="1B993F42" w:rsidR="0010354B" w:rsidRDefault="008153F8" w:rsidP="00F3618A">
      <w:pPr>
        <w:spacing w:line="480" w:lineRule="auto"/>
        <w:ind w:firstLine="720"/>
        <w:jc w:val="both"/>
      </w:pPr>
      <w:r>
        <w:t xml:space="preserve">Maintaining a level of privacy within banking institutions </w:t>
      </w:r>
      <w:r>
        <w:t>has been a significant factor which aims at providing a  burly integration of important changes which help perpetuate a transformed environment where it is possible to achieve a greater level of organizational success.</w:t>
      </w:r>
      <w:r w:rsidR="00161DA1">
        <w:t xml:space="preserve"> The Right to Financial Privacy Act  (RFPA) was enacted with a pivotal purpose to limit the government's ability to access nonpublic financial records. The integration of these factors has been crucial and provide a highly transformed environment where it is possible to achieve a highly successful operational context. This act requires that before the government </w:t>
      </w:r>
      <w:r w:rsidR="00161DA1">
        <w:lastRenderedPageBreak/>
        <w:t xml:space="preserve">is allowed to access nonpublic financial records, it must tender a legal notice seeking to obtain a </w:t>
      </w:r>
      <w:r w:rsidR="00A367F8">
        <w:t>given</w:t>
      </w:r>
      <w:r w:rsidR="00161DA1">
        <w:t xml:space="preserve"> financial account</w:t>
      </w:r>
      <w:r w:rsidR="00F3618A">
        <w:t xml:space="preserve"> </w:t>
      </w:r>
      <w:r w:rsidR="00F3618A">
        <w:fldChar w:fldCharType="begin" w:fldLock="1"/>
      </w:r>
      <w:r w:rsidR="00F3618A">
        <w:instrText>ADDIN CSL_CITATION {"citationItems":[{"id":"ITEM-1","itemData":{"DOI":"10.2139/ssrn.1640545","ISBN":"1437925162","ISSN":"1556-5068","PMID":"22057470","abstract":"The rapid growth of the market-based financial system since the mid-1980s changed the nature of financial intermediation in the United States profoundly. Within the market-based financial system, “shadow banks” are particularly important institutions. Shadow banks are financial intermediaries that conduct maturity, credit, and liquidity transformation without access to central bank liquidity or public sector credit guarantees. Examples of shadow banks include finance companies, asset-backed commercial paper (ABCP) conduits, limited-purpose finance companies, structured investment vehicles, credit hedge funds, money market mutual funds, securities lenders, and government-sponsored enterprises.     Shadow banks are interconnected along a vertically integrated, long intermediation chain, which intermediates credit through a wide range of securitization and secured funding techniques such as ABCP, asset-backed securities, collateralized debt obligations, and repo. This intermediation chain binds shadow banks into a network, which is the shadow banking system. The shadow banking system rivals the traditional banking system in the intermediation of credit to households and businesses. Over the past decade, the shadow banking system provided sources of inexpensive funding for credit by converting opaque, risky, long-term assets into money-like and seemingly riskless short-term liabilities. Maturity and credit transformation in the shadow banking system thus contributed significantly to asset bubbles in residential and commercial real estate markets prior to the financial crisis.    We document that the shadow banking system became severely strained during the financial crisis because, like traditional banks, shadow banks conduct credit, maturity, and liquidity transformation, but unlike traditional financial intermediaries, they lack access to public sources of liquidity, such as the Federal Reserve’s discount window, or public sources of insurance, such as federal deposit insurance. The liquidity facilities of the Federal Reserve and other government agencies’ guarantee schemes were a direct response to the liquidity and capital shortfalls of shadow banks and, effectively, provided either a backstop to credit intermediation by the shadow banking system or to traditional banks for the exposure to shadow banks. Our paper documents the institutional features of shadow banks, discusses their economic roles, and analyzes their relation to the traditional banking s…","author":[{"dropping-particle":"","family":"Pozsar","given":"Zoltan","non-dropping-particle":"","parse-names":false,"suffix":""},{"dropping-particle":"","family":"Adrian","given":"Tobias","non-dropping-particle":"","parse-names":false,"suffix":""},{"dropping-particle":"","family":"Ashcraft","given":"Adam B.","non-dropping-particle":"","parse-names":false,"suffix":""},{"dropping-particle":"","family":"Boesky","given":"Haley","non-dropping-particle":"","parse-names":false,"suffix":""}],"container-title":"SSRN","id":"ITEM-1","issued":{"date-parts":[["2010"]]},"title":"Shadow Banking","type":"report"},"uris":["http://www.mendeley.com/documents/?uuid=09f0f0a8-7503-41e4-9476-374af7057600","http://www.mendeley.com/documents/?uuid=d2dae2a0-6751-428d-8aea-12482b6fcce8"]}],"mendeley":{"formattedCitation":"(Pozsar, Adrian, Ashcraft, &amp; Boesky, 2010)","plainTextFormattedCitation":"(Pozsar, Adrian, Ashcraft, &amp; Boesky, 2010)","previouslyFormattedCitation":"(Pozsar, Adrian, Ashcraft, &amp; Boesky, 2010)"},"properties":{"noteIndex":0},"schema":"https://github.com/citation-style-language/schema/raw/master/csl-citation.json"}</w:instrText>
      </w:r>
      <w:r w:rsidR="00F3618A">
        <w:fldChar w:fldCharType="separate"/>
      </w:r>
      <w:r w:rsidR="00F3618A" w:rsidRPr="00F3618A">
        <w:rPr>
          <w:noProof/>
        </w:rPr>
        <w:t>(Pozsar, Adrian, Ashcraft, &amp; Boesky, 2010)</w:t>
      </w:r>
      <w:r w:rsidR="00F3618A">
        <w:fldChar w:fldCharType="end"/>
      </w:r>
      <w:r w:rsidR="00161DA1">
        <w:t>.</w:t>
      </w:r>
    </w:p>
    <w:p w14:paraId="7B905492" w14:textId="41B0FF90" w:rsidR="00161DA1" w:rsidRDefault="008153F8" w:rsidP="00F3618A">
      <w:pPr>
        <w:spacing w:line="480" w:lineRule="auto"/>
        <w:ind w:firstLine="720"/>
        <w:jc w:val="both"/>
      </w:pPr>
      <w:r>
        <w:t>Banks are required to establish clear policies highlighting their operat</w:t>
      </w:r>
      <w:r>
        <w:t>ions and other significant aspects which are likely to have an impact on the wellbeing of their customers. The regulation of banks is expected to have a strong influence on key changes which help create a strong level of understanding on individuals. Maint</w:t>
      </w:r>
      <w:r>
        <w:t xml:space="preserve">aining a positive operational context provide a highly successful environment where it is possible to achieve a higher level of organizational success and maintaining positive relations. The banks offer </w:t>
      </w:r>
      <w:r w:rsidR="00A367F8">
        <w:t>their</w:t>
      </w:r>
      <w:r>
        <w:t xml:space="preserve"> customers different options based on the existi</w:t>
      </w:r>
      <w:r>
        <w:t>ng economic conditions. Lending is an essential part of banking business operations, and it is one of the major ways that banks generate revenues. However, the lending ability of a bank is determined by the existing economic situation and its federal ratin</w:t>
      </w:r>
      <w:r>
        <w:t>g based on the current federal guidelines</w:t>
      </w:r>
      <w:r w:rsidR="00F3618A">
        <w:t xml:space="preserve"> </w:t>
      </w:r>
      <w:r w:rsidR="00F3618A">
        <w:fldChar w:fldCharType="begin" w:fldLock="1"/>
      </w:r>
      <w:r w:rsidR="00F3618A">
        <w:instrText>ADDIN CSL_CITATION {"citationItems":[{"id":"ITEM-1","itemData":{"abstract":"The Code of Federal Regulations is the codification of the general and permanent rules published in the Federal Register by the executive departments and agencies of the Federal Government.","author":[{"dropping-particle":"","family":"United States","given":"Division of the Federal Register","non-dropping-particle":"","parse-names":false,"suffix":""}],"container-title":"U.S. Government Printing Office","id":"ITEM-1","issued":{"date-parts":[["2017"]]},"title":"The Code of Federal Regulations of the United States of America","type":"article"},"uris":["http://www.mendeley.com/documents/?uuid=25243734-f7ef-4c96-9011-4e772eb2db95"]}],"mendeley":{"formattedCitation":"(United States, 2017)","plainTextFormattedCitation":"(United States, 2017)","previouslyFormattedCitation":"(United States, 2017)"},"properties":{"noteIndex":0},"schema":"https://github.com/citation-style-language/schema/raw/master/csl-citation.json"}</w:instrText>
      </w:r>
      <w:r w:rsidR="00F3618A">
        <w:fldChar w:fldCharType="separate"/>
      </w:r>
      <w:r w:rsidR="00F3618A" w:rsidRPr="00F3618A">
        <w:rPr>
          <w:noProof/>
        </w:rPr>
        <w:t>(United States, 2017)</w:t>
      </w:r>
      <w:r w:rsidR="00F3618A">
        <w:fldChar w:fldCharType="end"/>
      </w:r>
      <w:r>
        <w:t>.</w:t>
      </w:r>
    </w:p>
    <w:p w14:paraId="3CD7272C" w14:textId="4AC1856F" w:rsidR="00161DA1" w:rsidRDefault="008153F8" w:rsidP="00F3618A">
      <w:pPr>
        <w:spacing w:line="480" w:lineRule="auto"/>
        <w:ind w:firstLine="720"/>
        <w:jc w:val="both"/>
      </w:pPr>
      <w:r>
        <w:t xml:space="preserve">The federal bank regulates the operations of all commercial banks </w:t>
      </w:r>
      <w:r w:rsidR="00A367F8">
        <w:t>and ensures that they can provide clients with better banking and financial services based on the existing laws. The integration of these factors is essential and help define a highly successful operational environment where it is possible to achieve better development. The Federal Reserve System has focused on creating a reliable evaluation of important aspects which help maintain a better operational context. The complexity of the American banking system makes it onerous to integrate important facets which help maintain a highly successful organizational development where it would be possible to achieve organizational success</w:t>
      </w:r>
      <w:r w:rsidR="00F3618A">
        <w:t xml:space="preserve"> </w:t>
      </w:r>
      <w:r w:rsidR="00F3618A">
        <w:fldChar w:fldCharType="begin" w:fldLock="1"/>
      </w:r>
      <w:r w:rsidR="00F3618A">
        <w:instrText>ADDIN CSL_CITATION {"citationItems":[{"id":"ITEM-1","itemData":{"DOI":"10.1016/j.eeh.2012.09.004","ISSN":"00144983","abstract":"This paper examines the impacts of banking market structure and regulation on economic growth using new data on banking market concentration and manufacturing industry-level growth rates for U.S. states during 1899-1929-a period when the manufacturing sector was expanding rapidly and restrictive branching laws segmented the U.S. banking system geographically. Unlike studies of developing and developed countries today, we find that banking market concentration generally had a positive impact on manufacturing sector growth in the early twentieth century United States, with a somewhat stronger impact on industries with smaller establishments, lower rates of incorporation, and less reliance on bond markets (and, hence, relatively more reliance on banks). Because regulations affecting bank entry varied considerably across states and the industrial organization of the U.S. banking system differs markedly from those of other countries, we consider the impact of other aspects of banking market structure and policy on growth. Even after controlling for differences in the prevalence of branch banking, deposit insurance, and other aspects of policy and market structure, we find that market concentration boosted industrial growth. © 2012 Elsevier Inc.","author":[{"dropping-particle":"","family":"Mitchener","given":"Kris James","non-dropping-particle":"","parse-names":false,"suffix":""},{"dropping-particle":"","family":"Wheelock","given":"David C.","non-dropping-particle":"","parse-names":false,"suffix":""}],"container-title":"Explorations in Economic History","id":"ITEM-1","issued":{"date-parts":[["2013"]]},"title":"Does the structure of banking markets affect economic growth? Evidence from U.S. state banking markets","type":"article-journal"},"uris":["http://www.mendeley.com/documents/?uuid=6f4af824-8403-4a0e-b818-eccfd993f05c","http://www.mendeley.com/documents/?uuid=b9b13dd4-c224-4de3-a6bd-7236575dea91"]}],"mendeley":{"formattedCitation":"(Mitchener &amp; Wheelock, 2013)","plainTextFormattedCitation":"(Mitchener &amp; Wheelock, 2013)","previouslyFormattedCitation":"(Mitchener &amp; Wheelock, 2013)"},"properties":{"noteIndex":0},"schema":"https://github.com/citation-style-language/schema/raw/master/csl-citation.json"}</w:instrText>
      </w:r>
      <w:r w:rsidR="00F3618A">
        <w:fldChar w:fldCharType="separate"/>
      </w:r>
      <w:r w:rsidR="00F3618A" w:rsidRPr="00F3618A">
        <w:rPr>
          <w:noProof/>
        </w:rPr>
        <w:t>(Mitchener &amp; Wheelock, 2013)</w:t>
      </w:r>
      <w:r w:rsidR="00F3618A">
        <w:fldChar w:fldCharType="end"/>
      </w:r>
      <w:r w:rsidR="00A367F8">
        <w:t>.</w:t>
      </w:r>
    </w:p>
    <w:p w14:paraId="14C05647" w14:textId="25C3CA82" w:rsidR="00A367F8" w:rsidRDefault="008153F8" w:rsidP="00F3618A">
      <w:pPr>
        <w:spacing w:line="480" w:lineRule="auto"/>
        <w:ind w:firstLine="720"/>
        <w:jc w:val="both"/>
      </w:pPr>
      <w:r>
        <w:t xml:space="preserve"> An important regulatory aspect that is evaluated is lending and interest rates. The banks are likely to create a difficult environment where it would be difficult to achieve better operational context. Consumers do not have key information relating to len</w:t>
      </w:r>
      <w:r>
        <w:t xml:space="preserve">ding and interest rates which would be essential in creating a highly transformed environment where it would </w:t>
      </w:r>
      <w:r>
        <w:lastRenderedPageBreak/>
        <w:t xml:space="preserve">be possible to achieve improved outcomes. Aspects such as inflation have a significant influence on lending interests. It is upon the federal bank </w:t>
      </w:r>
      <w:r>
        <w:t xml:space="preserve">to set caps which must be followed by all banks in </w:t>
      </w:r>
      <w:r w:rsidR="00162F60">
        <w:t>lending to their consumer and ensure that they are highly protected. The integration of these factors helps regulate the conduct of banks which can utilize the vulnerability and ignorance of their customers raise the interest rate.</w:t>
      </w:r>
    </w:p>
    <w:p w14:paraId="43C216A7" w14:textId="22C9F2C4" w:rsidR="00162F60" w:rsidRPr="00162F60" w:rsidRDefault="008153F8" w:rsidP="00F3618A">
      <w:pPr>
        <w:spacing w:line="480" w:lineRule="auto"/>
        <w:ind w:firstLine="720"/>
        <w:jc w:val="both"/>
      </w:pPr>
      <w:r w:rsidRPr="00162F60">
        <w:t>Inflation has a detrimental influence on the bank's lending ability because there is more money in circulation with reduced value making it difficult for banks to generate profits from the existing financial interest rates. There</w:t>
      </w:r>
      <w:r w:rsidRPr="00162F60">
        <w:t>fore increasing inflation leads to a diminishing of the stock market development and the baking lending activity which are a significant source of income within the banking sector</w:t>
      </w:r>
      <w:r w:rsidR="00F3618A">
        <w:t>.</w:t>
      </w:r>
      <w:r w:rsidRPr="00162F60">
        <w:t xml:space="preserve"> Economies that have an inflation rate of more than 15% have a discrete drop</w:t>
      </w:r>
      <w:r w:rsidRPr="00162F60">
        <w:t xml:space="preserve"> in financial sector performance. Thus the development of these concepts provides a strong emphasis on essential processes which help in understanding specific factors which define a greater insistence on the overall inflation rates</w:t>
      </w:r>
      <w:r w:rsidR="00F3618A">
        <w:t xml:space="preserve"> </w:t>
      </w:r>
      <w:r w:rsidR="00F3618A">
        <w:fldChar w:fldCharType="begin" w:fldLock="1"/>
      </w:r>
      <w:r w:rsidR="00F3618A">
        <w:instrText>ADDIN CSL_CITATION {"citationItems":[{"id":"ITEM-1","itemData":{"DOI":"10.18288/1994-5124-2016-4-01","ISSN":"19945124","abstract":"Why are banking systems unstable in so many countries but not in others? The United States has had twelve systemic banking crises since 1840, while Canada has had none. The banking systems of Mexico and Brazil have not only been crisis prone but have provided miniscule amounts of credit to business enterprises and households. Analyzing the political and banking history of the United Kingdom, the United States, Canada, Mexico, and Brazil through several centuries, Fragile by Design demonstrates that chronic banking crises and scarce credit are not accidents. Calomiris and Haber combine political history and economics to examine how coalitions of politicians, bankers, and other interest groups form, why they endure, and how they generate policies that determine who gets to be a banker, who has access to credit, and who pays for bank bailouts and rescues","author":[{"dropping-particle":"","family":"","given":"","non-dropping-particle":"","parse-names":false,"suffix":""},{"dropping-particle":"","family":"Calomiris","given":"Charles W.","non-dropping-particle":"","parse-names":false,"suffix":""},{"dropping-particle":"","family":"Haber","given":"Stephen H.","non-dropping-particle":"","parse-names":false,"suffix":""}],"container-title":"Economic Policy (in Russian)","id":"ITEM-1","issued":{"date-parts":[["2017"]]},"title":"Fragile by design: The Political Origins of Banking Crises and Scarce Credit","type":"article-journal"},"uris":["http://www.mendeley.com/documents/?uuid=ab231c57-fcd3-4308-86f3-2880c608b409"]}],"mendeley":{"formattedCitation":"( et al., 2017)","plainTextFormattedCitation":"( et al., 2017)","previouslyFormattedCitation":"( et al., 2017)"},"properties":{"noteIndex":0},"schema":"https://github.com/citation-style-language/schema/raw/master/csl-citation.json"}</w:instrText>
      </w:r>
      <w:r w:rsidR="00F3618A">
        <w:fldChar w:fldCharType="separate"/>
      </w:r>
      <w:r w:rsidR="00F3618A" w:rsidRPr="00F3618A">
        <w:rPr>
          <w:noProof/>
        </w:rPr>
        <w:t>( et al., 2017)</w:t>
      </w:r>
      <w:r w:rsidR="00F3618A">
        <w:fldChar w:fldCharType="end"/>
      </w:r>
      <w:r w:rsidR="00F3618A">
        <w:t>.</w:t>
      </w:r>
    </w:p>
    <w:p w14:paraId="766C3546" w14:textId="54C89EC1" w:rsidR="00162F60" w:rsidRDefault="008153F8" w:rsidP="00F3618A">
      <w:pPr>
        <w:spacing w:line="480" w:lineRule="auto"/>
        <w:ind w:firstLine="720"/>
        <w:jc w:val="both"/>
      </w:pPr>
      <w:r w:rsidRPr="00162F60">
        <w:t>The anticipated increase in inflation has an influence on banks which must be adequately determined to ensure that there is</w:t>
      </w:r>
      <w:r w:rsidRPr="00162F60">
        <w:t xml:space="preserve"> controlled influence. The forecasted increase in inflation leads to a rise in the nominal interest rate. This creates an environment where there is an increase in the number of dollars creditors and debtors are transacting in nominal financial instruments</w:t>
      </w:r>
      <w:r w:rsidRPr="00162F60">
        <w:t xml:space="preserve"> expect to get when the loans mature. All nominal values thus are expected to rise when the loans mature.  However, there is a consideration which defines the different level of understanding on a decrease in obstential roles. Inflation forecasts are essen</w:t>
      </w:r>
      <w:r w:rsidRPr="00162F60">
        <w:t>tial in establishing a stronger emphasis on essential elements which help in outlining important concepts which help define improved outcomes</w:t>
      </w:r>
      <w:r>
        <w:t>.</w:t>
      </w:r>
    </w:p>
    <w:p w14:paraId="06F0269D" w14:textId="3443CD92" w:rsidR="00162F60" w:rsidRPr="00162F60" w:rsidRDefault="008153F8" w:rsidP="00F3618A">
      <w:pPr>
        <w:spacing w:line="480" w:lineRule="auto"/>
        <w:ind w:firstLine="720"/>
        <w:jc w:val="both"/>
      </w:pPr>
      <w:r w:rsidRPr="00162F60">
        <w:t xml:space="preserve">Inflation has a negative influence on the interest rate. Thus a higher evaluation of the underlying relationship </w:t>
      </w:r>
      <w:r w:rsidRPr="00162F60">
        <w:t xml:space="preserve">between inflation and interest rate provides a strong understanding of </w:t>
      </w:r>
      <w:r w:rsidRPr="00162F60">
        <w:lastRenderedPageBreak/>
        <w:t xml:space="preserve">important measures which can help in understanding the underlying concepts which define a highly successful economic development. The interest rates in the united states are determined </w:t>
      </w:r>
      <w:r w:rsidRPr="00162F60">
        <w:t>by the federal fund rate. When interest rates are reduced, more people can borrow considering that they can afford based on the existing guidelines. Thus when the interest rates are low and more people can afford to borrow, there is more money in circulati</w:t>
      </w:r>
      <w:r w:rsidRPr="00162F60">
        <w:t>on which is dangerous considering that it leads to inflation where the currency loses its value. Therefore there is need to focus on defining improved understanding on key elements which help in identifying essential elements that help create a higher eval</w:t>
      </w:r>
      <w:r w:rsidRPr="00162F60">
        <w:t>uation of fundamental concepts which represent a more significant commitment within a given context</w:t>
      </w:r>
      <w:r w:rsidR="00F3618A">
        <w:t xml:space="preserve"> </w:t>
      </w:r>
      <w:r w:rsidR="00F3618A">
        <w:fldChar w:fldCharType="begin" w:fldLock="1"/>
      </w:r>
      <w:r w:rsidR="00F3618A">
        <w:instrText>ADDIN CSL_CITATION {"citationItems":[{"id":"ITEM-1","itemData":{"DOI":"10.1111/j.1540-6261.2012.01773.x","ISBN":"978-3-86558-456-4","ISSN":"00221082","abstract":"The globalization of banking in the United States is influencing the monetary transmission mechanism both domestically and in foreign markets. Using quarterly information from all U.S. banks filing call reports between 1980 and 2006, we show that globalized banks activate internal capital markets with their overseas affiliates to insulate themselves partially from changes in domestic liquidity conditions. The existence of these internal capital markets directly contributes to an international propagation of domestic liquidity shocks to lending by affiliated banks abroad. While these results imply a substantially more active lending channel than documented in Kashyap and Stein (2000), they also imply that the lending channel within the United States is declining in strength as banking becomes more globalized and monetary transmission abroad likewise increases in strength.","author":[{"dropping-particle":"","family":"Cetorelli","given":"Nicola","non-dropping-particle":"","parse-names":false,"suffix":""},{"dropping-particle":"","family":"Goldberg","given":"Linda S.","non-dropping-particle":"","parse-names":false,"suffix":""}],"container-title":"Journal of Finance","id":"ITEM-1","issued":{"date-parts":[["2012"]]},"title":"Banking Globalization and Monetary Transmission","type":"article-journal"},"uris":["http://www.mendeley.com/documents/?uuid=d323b760-19eb-4146-bd7f-12621228060a","http://www.mendeley.com/documents/?uuid=cea7c693-20b8-4409-a65c-74ca1df6a18d"]}],"mendeley":{"formattedCitation":"(Cetorelli &amp; Goldberg, 2012)","plainTextFormattedCitation":"(Cetorelli &amp; Goldberg, 2012)","previouslyFormattedCitation":"(Cetorelli &amp; Goldberg, 2012)"},"properties":{"noteIndex":0},"schema":"https://github.com/citation-style-language/schema/raw/master/csl-citation.json"}</w:instrText>
      </w:r>
      <w:r w:rsidR="00F3618A">
        <w:fldChar w:fldCharType="separate"/>
      </w:r>
      <w:r w:rsidR="00F3618A" w:rsidRPr="00F3618A">
        <w:rPr>
          <w:noProof/>
        </w:rPr>
        <w:t>(Cetorelli &amp; Goldberg, 2012)</w:t>
      </w:r>
      <w:r w:rsidR="00F3618A">
        <w:fldChar w:fldCharType="end"/>
      </w:r>
      <w:r w:rsidRPr="00162F60">
        <w:t>.</w:t>
      </w:r>
    </w:p>
    <w:p w14:paraId="2F7F3997" w14:textId="048C8C00" w:rsidR="00162F60" w:rsidRPr="0010354B" w:rsidRDefault="008153F8" w:rsidP="00F3618A">
      <w:pPr>
        <w:spacing w:line="480" w:lineRule="auto"/>
        <w:ind w:firstLine="720"/>
        <w:jc w:val="both"/>
      </w:pPr>
      <w:r>
        <w:t xml:space="preserve">Thus strong commitment to better regulation aspects plays a vital role in defining a highly transformed environment where it would be possible to maintain a highly successful operational context. Maintaining a strong focus </w:t>
      </w:r>
      <w:r>
        <w:t>on the existing risks means that it is important to ensure that the regulatory guidelines that are put in place have a positive influence on increased development among banks where they would be able to understand key changes which help define better opera</w:t>
      </w:r>
      <w:r>
        <w:t>tional evolution. Having a highly successful business development help understand pivotal processes that define a better operational context</w:t>
      </w:r>
      <w:r w:rsidR="00F3618A">
        <w:t xml:space="preserve"> </w:t>
      </w:r>
      <w:r w:rsidR="00F3618A">
        <w:fldChar w:fldCharType="begin" w:fldLock="1"/>
      </w:r>
      <w:r w:rsidR="00F3618A">
        <w:instrText>ADDIN CSL_CITATION {"citationItems":[{"id":"ITEM-1","itemData":{"DOI":"10.1016/j.eeh.2012.09.004","ISSN":"00144983","abstract":"This paper examines the impacts of banking market structure and regulation on economic growth using new data on banking market concentration and manufacturing industry-level growth rates for U.S. states during 1899-1929-a period when the manufacturing sector was expanding rapidly and restrictive branching laws segmented the U.S. banking system geographically. Unlike studies of developing and developed countries today, we find that banking market concentration generally had a positive impact on manufacturing sector growth in the early twentieth century United States, with a somewhat stronger impact on industries with smaller establishments, lower rates of incorporation, and less reliance on bond markets (and, hence, relatively more reliance on banks). Because regulations affecting bank entry varied considerably across states and the industrial organization of the U.S. banking system differs markedly from those of other countries, we consider the impact of other aspects of banking market structure and policy on growth. Even after controlling for differences in the prevalence of branch banking, deposit insurance, and other aspects of policy and market structure, we find that market concentration boosted industrial growth. © 2012 Elsevier Inc.","author":[{"dropping-particle":"","family":"Mitchener","given":"Kris James","non-dropping-particle":"","parse-names":false,"suffix":""},{"dropping-particle":"","family":"Wheelock","given":"David C.","non-dropping-particle":"","parse-names":false,"suffix":""}],"container-title":"Explorations in Economic History","id":"ITEM-1","issued":{"date-parts":[["2013"]]},"title":"Does the structure of banking markets affect economic growth? Evidence from U.S. state banking markets","type":"article-journal"},"uris":["http://www.mendeley.com/documents/?uuid=b9b13dd4-c224-4de3-a6bd-7236575dea91"]}],"mendeley":{"formattedCitation":"(Mitchener &amp; Wheelock, 2013)","plainTextFormattedCitation":"(Mitchener &amp; Wheelock, 2013)","previouslyFormattedCitation":"(Mitchener &amp; Wheelock, 2013)"},"properties":{"noteIndex":0},"schema":"https://github.com/citation-style-language/schema/raw/master/csl-citation.json"}</w:instrText>
      </w:r>
      <w:r w:rsidR="00F3618A">
        <w:fldChar w:fldCharType="separate"/>
      </w:r>
      <w:r w:rsidR="00F3618A" w:rsidRPr="00F3618A">
        <w:rPr>
          <w:noProof/>
        </w:rPr>
        <w:t>(Mitchener &amp; Wheelock, 2013)</w:t>
      </w:r>
      <w:r w:rsidR="00F3618A">
        <w:fldChar w:fldCharType="end"/>
      </w:r>
      <w:r>
        <w:t>.</w:t>
      </w:r>
    </w:p>
    <w:p w14:paraId="2F78C54D" w14:textId="77777777" w:rsidR="0010354B" w:rsidRPr="0010354B" w:rsidRDefault="0010354B" w:rsidP="0010354B"/>
    <w:p w14:paraId="76AC91C5" w14:textId="728B13BE" w:rsidR="005025B6" w:rsidRDefault="005025B6"/>
    <w:p w14:paraId="5C814433" w14:textId="6622532F" w:rsidR="00F3618A" w:rsidRDefault="00F3618A"/>
    <w:p w14:paraId="4DDE192D" w14:textId="5C78AACA" w:rsidR="00F3618A" w:rsidRDefault="00F3618A"/>
    <w:p w14:paraId="1C3CE040" w14:textId="6673BB0F" w:rsidR="00F3618A" w:rsidRDefault="00F3618A"/>
    <w:p w14:paraId="00DC170E" w14:textId="166D1715" w:rsidR="00F3618A" w:rsidRDefault="00F3618A"/>
    <w:p w14:paraId="721B2D6F" w14:textId="17AAF87F" w:rsidR="00F3618A" w:rsidRDefault="00F3618A"/>
    <w:p w14:paraId="150BD111" w14:textId="4C9A7C33" w:rsidR="00F3618A" w:rsidRDefault="008153F8" w:rsidP="00F3618A">
      <w:pPr>
        <w:spacing w:line="480" w:lineRule="auto"/>
        <w:jc w:val="center"/>
      </w:pPr>
      <w:r>
        <w:t>References</w:t>
      </w:r>
    </w:p>
    <w:p w14:paraId="413EE903" w14:textId="48420B3B" w:rsidR="00F3618A" w:rsidRPr="00F3618A" w:rsidRDefault="008153F8" w:rsidP="00F3618A">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F3618A">
        <w:rPr>
          <w:rFonts w:cs="Times New Roman"/>
          <w:noProof/>
          <w:szCs w:val="24"/>
        </w:rPr>
        <w:t>Calomiris, C. W., &amp; Haber, S. H. (2017)</w:t>
      </w:r>
      <w:r w:rsidRPr="00F3618A">
        <w:rPr>
          <w:rFonts w:cs="Times New Roman"/>
          <w:noProof/>
          <w:szCs w:val="24"/>
        </w:rPr>
        <w:t xml:space="preserve">. Fragile by design: The Political Origins of Banking </w:t>
      </w:r>
      <w:r w:rsidRPr="00F3618A">
        <w:rPr>
          <w:rFonts w:cs="Times New Roman"/>
          <w:noProof/>
          <w:szCs w:val="24"/>
        </w:rPr>
        <w:lastRenderedPageBreak/>
        <w:t xml:space="preserve">Crises and Scarce Credit. </w:t>
      </w:r>
      <w:r w:rsidRPr="00F3618A">
        <w:rPr>
          <w:rFonts w:cs="Times New Roman"/>
          <w:i/>
          <w:iCs/>
          <w:noProof/>
          <w:szCs w:val="24"/>
        </w:rPr>
        <w:t>Economic Policy (in Russian)</w:t>
      </w:r>
      <w:r w:rsidRPr="00F3618A">
        <w:rPr>
          <w:rFonts w:cs="Times New Roman"/>
          <w:noProof/>
          <w:szCs w:val="24"/>
        </w:rPr>
        <w:t>. https://doi.org/10.18288/1994-5124-2016-4-01</w:t>
      </w:r>
    </w:p>
    <w:p w14:paraId="257DEC76" w14:textId="77777777" w:rsidR="00F3618A" w:rsidRPr="00F3618A" w:rsidRDefault="008153F8" w:rsidP="00F3618A">
      <w:pPr>
        <w:widowControl w:val="0"/>
        <w:autoSpaceDE w:val="0"/>
        <w:autoSpaceDN w:val="0"/>
        <w:adjustRightInd w:val="0"/>
        <w:spacing w:line="480" w:lineRule="auto"/>
        <w:ind w:left="480" w:hanging="480"/>
        <w:rPr>
          <w:rFonts w:cs="Times New Roman"/>
          <w:noProof/>
          <w:szCs w:val="24"/>
        </w:rPr>
      </w:pPr>
      <w:r w:rsidRPr="00F3618A">
        <w:rPr>
          <w:rFonts w:cs="Times New Roman"/>
          <w:noProof/>
          <w:szCs w:val="24"/>
        </w:rPr>
        <w:t xml:space="preserve">Cetorelli, N., &amp; Goldberg, L. S. (2012). Banking Globalization and Monetary Transmission. </w:t>
      </w:r>
      <w:r w:rsidRPr="00F3618A">
        <w:rPr>
          <w:rFonts w:cs="Times New Roman"/>
          <w:i/>
          <w:iCs/>
          <w:noProof/>
          <w:szCs w:val="24"/>
        </w:rPr>
        <w:t>Journal of Finance</w:t>
      </w:r>
      <w:r w:rsidRPr="00F3618A">
        <w:rPr>
          <w:rFonts w:cs="Times New Roman"/>
          <w:noProof/>
          <w:szCs w:val="24"/>
        </w:rPr>
        <w:t>. https://doi.org/10.1111/j.1540-6261.2012.01773.x</w:t>
      </w:r>
    </w:p>
    <w:p w14:paraId="6AE53292" w14:textId="77777777" w:rsidR="00F3618A" w:rsidRPr="00F3618A" w:rsidRDefault="008153F8" w:rsidP="00F3618A">
      <w:pPr>
        <w:widowControl w:val="0"/>
        <w:autoSpaceDE w:val="0"/>
        <w:autoSpaceDN w:val="0"/>
        <w:adjustRightInd w:val="0"/>
        <w:spacing w:line="480" w:lineRule="auto"/>
        <w:ind w:left="480" w:hanging="480"/>
        <w:rPr>
          <w:rFonts w:cs="Times New Roman"/>
          <w:noProof/>
          <w:szCs w:val="24"/>
        </w:rPr>
      </w:pPr>
      <w:r w:rsidRPr="00F3618A">
        <w:rPr>
          <w:rFonts w:cs="Times New Roman"/>
          <w:noProof/>
          <w:szCs w:val="24"/>
        </w:rPr>
        <w:t xml:space="preserve">DeYoung, R. (2012). Banking in the United States. In </w:t>
      </w:r>
      <w:r w:rsidRPr="00F3618A">
        <w:rPr>
          <w:rFonts w:cs="Times New Roman"/>
          <w:i/>
          <w:iCs/>
          <w:noProof/>
          <w:szCs w:val="24"/>
        </w:rPr>
        <w:t>The Oxford Handbook of Banking</w:t>
      </w:r>
      <w:r w:rsidRPr="00F3618A">
        <w:rPr>
          <w:rFonts w:cs="Times New Roman"/>
          <w:noProof/>
          <w:szCs w:val="24"/>
        </w:rPr>
        <w:t>. https://doi.</w:t>
      </w:r>
      <w:r w:rsidRPr="00F3618A">
        <w:rPr>
          <w:rFonts w:cs="Times New Roman"/>
          <w:noProof/>
          <w:szCs w:val="24"/>
        </w:rPr>
        <w:t>org/10.1093/oxfordhb/9780199640935.013.0031</w:t>
      </w:r>
    </w:p>
    <w:p w14:paraId="75D204B8" w14:textId="77777777" w:rsidR="00F3618A" w:rsidRPr="00F3618A" w:rsidRDefault="008153F8" w:rsidP="00F3618A">
      <w:pPr>
        <w:widowControl w:val="0"/>
        <w:autoSpaceDE w:val="0"/>
        <w:autoSpaceDN w:val="0"/>
        <w:adjustRightInd w:val="0"/>
        <w:spacing w:line="480" w:lineRule="auto"/>
        <w:ind w:left="480" w:hanging="480"/>
        <w:rPr>
          <w:rFonts w:cs="Times New Roman"/>
          <w:noProof/>
          <w:szCs w:val="24"/>
        </w:rPr>
      </w:pPr>
      <w:r w:rsidRPr="00F3618A">
        <w:rPr>
          <w:rFonts w:cs="Times New Roman"/>
          <w:noProof/>
          <w:szCs w:val="24"/>
        </w:rPr>
        <w:t xml:space="preserve">Mitchener, K. J., &amp; Wheelock, D. C. (2013). Does the structure of banking markets affect economic growth? Evidence from U.S. state banking markets. </w:t>
      </w:r>
      <w:r w:rsidRPr="00F3618A">
        <w:rPr>
          <w:rFonts w:cs="Times New Roman"/>
          <w:i/>
          <w:iCs/>
          <w:noProof/>
          <w:szCs w:val="24"/>
        </w:rPr>
        <w:t>Explorations in Economic History</w:t>
      </w:r>
      <w:r w:rsidRPr="00F3618A">
        <w:rPr>
          <w:rFonts w:cs="Times New Roman"/>
          <w:noProof/>
          <w:szCs w:val="24"/>
        </w:rPr>
        <w:t>. https://doi.org/10.1016/j.eeh.</w:t>
      </w:r>
      <w:r w:rsidRPr="00F3618A">
        <w:rPr>
          <w:rFonts w:cs="Times New Roman"/>
          <w:noProof/>
          <w:szCs w:val="24"/>
        </w:rPr>
        <w:t>2012.09.004</w:t>
      </w:r>
    </w:p>
    <w:p w14:paraId="150C0673" w14:textId="77777777" w:rsidR="00F3618A" w:rsidRPr="00F3618A" w:rsidRDefault="008153F8" w:rsidP="00F3618A">
      <w:pPr>
        <w:widowControl w:val="0"/>
        <w:autoSpaceDE w:val="0"/>
        <w:autoSpaceDN w:val="0"/>
        <w:adjustRightInd w:val="0"/>
        <w:spacing w:line="480" w:lineRule="auto"/>
        <w:ind w:left="480" w:hanging="480"/>
        <w:rPr>
          <w:rFonts w:cs="Times New Roman"/>
          <w:noProof/>
          <w:szCs w:val="24"/>
        </w:rPr>
      </w:pPr>
      <w:r w:rsidRPr="00F3618A">
        <w:rPr>
          <w:rFonts w:cs="Times New Roman"/>
          <w:noProof/>
          <w:szCs w:val="24"/>
        </w:rPr>
        <w:t xml:space="preserve">Pozsar, Z., Adrian, T., Ashcraft, A. B., &amp; Boesky, H. (2010). </w:t>
      </w:r>
      <w:r w:rsidRPr="00F3618A">
        <w:rPr>
          <w:rFonts w:cs="Times New Roman"/>
          <w:i/>
          <w:iCs/>
          <w:noProof/>
          <w:szCs w:val="24"/>
        </w:rPr>
        <w:t>Shadow Banking</w:t>
      </w:r>
      <w:r w:rsidRPr="00F3618A">
        <w:rPr>
          <w:rFonts w:cs="Times New Roman"/>
          <w:noProof/>
          <w:szCs w:val="24"/>
        </w:rPr>
        <w:t xml:space="preserve">. </w:t>
      </w:r>
      <w:r w:rsidRPr="00F3618A">
        <w:rPr>
          <w:rFonts w:cs="Times New Roman"/>
          <w:i/>
          <w:iCs/>
          <w:noProof/>
          <w:szCs w:val="24"/>
        </w:rPr>
        <w:t>SSRN</w:t>
      </w:r>
      <w:r w:rsidRPr="00F3618A">
        <w:rPr>
          <w:rFonts w:cs="Times New Roman"/>
          <w:noProof/>
          <w:szCs w:val="24"/>
        </w:rPr>
        <w:t>. https://doi.org/10.2139/ssrn.1640545</w:t>
      </w:r>
    </w:p>
    <w:p w14:paraId="09602A25" w14:textId="77777777" w:rsidR="00F3618A" w:rsidRPr="00F3618A" w:rsidRDefault="008153F8" w:rsidP="00F3618A">
      <w:pPr>
        <w:widowControl w:val="0"/>
        <w:autoSpaceDE w:val="0"/>
        <w:autoSpaceDN w:val="0"/>
        <w:adjustRightInd w:val="0"/>
        <w:spacing w:line="480" w:lineRule="auto"/>
        <w:ind w:left="480" w:hanging="480"/>
        <w:rPr>
          <w:rFonts w:cs="Times New Roman"/>
          <w:noProof/>
          <w:szCs w:val="24"/>
        </w:rPr>
      </w:pPr>
      <w:r w:rsidRPr="00F3618A">
        <w:rPr>
          <w:rFonts w:cs="Times New Roman"/>
          <w:noProof/>
          <w:szCs w:val="24"/>
        </w:rPr>
        <w:t xml:space="preserve">Shin, H. S. (2012). Global banking glut and loan risk premium. </w:t>
      </w:r>
      <w:r w:rsidRPr="00F3618A">
        <w:rPr>
          <w:rFonts w:cs="Times New Roman"/>
          <w:i/>
          <w:iCs/>
          <w:noProof/>
          <w:szCs w:val="24"/>
        </w:rPr>
        <w:t>IMF Economic Review</w:t>
      </w:r>
      <w:r w:rsidRPr="00F3618A">
        <w:rPr>
          <w:rFonts w:cs="Times New Roman"/>
          <w:noProof/>
          <w:szCs w:val="24"/>
        </w:rPr>
        <w:t>. https://doi.org/10.1057/imfer.2012.6</w:t>
      </w:r>
    </w:p>
    <w:p w14:paraId="493D820A" w14:textId="77777777" w:rsidR="00F3618A" w:rsidRPr="00F3618A" w:rsidRDefault="008153F8" w:rsidP="00F3618A">
      <w:pPr>
        <w:widowControl w:val="0"/>
        <w:autoSpaceDE w:val="0"/>
        <w:autoSpaceDN w:val="0"/>
        <w:adjustRightInd w:val="0"/>
        <w:spacing w:line="480" w:lineRule="auto"/>
        <w:ind w:left="480" w:hanging="480"/>
        <w:rPr>
          <w:rFonts w:cs="Times New Roman"/>
          <w:noProof/>
        </w:rPr>
      </w:pPr>
      <w:r w:rsidRPr="00F3618A">
        <w:rPr>
          <w:rFonts w:cs="Times New Roman"/>
          <w:noProof/>
          <w:szCs w:val="24"/>
        </w:rPr>
        <w:t xml:space="preserve">United States, D. of the F. R. (2017). The Code of Federal Regulations of the United States of America. </w:t>
      </w:r>
      <w:r w:rsidRPr="00F3618A">
        <w:rPr>
          <w:rFonts w:cs="Times New Roman"/>
          <w:i/>
          <w:iCs/>
          <w:noProof/>
          <w:szCs w:val="24"/>
        </w:rPr>
        <w:t>U.S. Government Printing Office</w:t>
      </w:r>
      <w:r w:rsidRPr="00F3618A">
        <w:rPr>
          <w:rFonts w:cs="Times New Roman"/>
          <w:noProof/>
          <w:szCs w:val="24"/>
        </w:rPr>
        <w:t>.</w:t>
      </w:r>
    </w:p>
    <w:p w14:paraId="5D9B96E1" w14:textId="7BC178BE" w:rsidR="00F3618A" w:rsidRPr="0004083F" w:rsidRDefault="008153F8" w:rsidP="00F3618A">
      <w:pPr>
        <w:spacing w:line="480" w:lineRule="auto"/>
      </w:pPr>
      <w:r>
        <w:fldChar w:fldCharType="end"/>
      </w:r>
    </w:p>
    <w:sectPr w:rsidR="00F3618A" w:rsidRPr="0004083F" w:rsidSect="00B22B2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C6CFF0" w14:textId="77777777" w:rsidR="008153F8" w:rsidRDefault="008153F8">
      <w:pPr>
        <w:spacing w:after="0" w:line="240" w:lineRule="auto"/>
      </w:pPr>
      <w:r>
        <w:separator/>
      </w:r>
    </w:p>
  </w:endnote>
  <w:endnote w:type="continuationSeparator" w:id="0">
    <w:p w14:paraId="52DBCA58" w14:textId="77777777" w:rsidR="008153F8" w:rsidRDefault="00815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87ECB1" w14:textId="77777777" w:rsidR="008153F8" w:rsidRDefault="008153F8">
      <w:pPr>
        <w:spacing w:after="0" w:line="240" w:lineRule="auto"/>
      </w:pPr>
      <w:r>
        <w:separator/>
      </w:r>
    </w:p>
  </w:footnote>
  <w:footnote w:type="continuationSeparator" w:id="0">
    <w:p w14:paraId="467546B4" w14:textId="77777777" w:rsidR="008153F8" w:rsidRDefault="008153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E6B0F" w14:textId="29E571A3" w:rsidR="00B22B20" w:rsidRDefault="008153F8">
    <w:pPr>
      <w:pStyle w:val="Header"/>
      <w:jc w:val="right"/>
    </w:pPr>
    <w:r w:rsidRPr="00B22B20">
      <w:t>BANKING REGULATIONS</w:t>
    </w:r>
    <w:r w:rsidRPr="00B22B20">
      <w:t xml:space="preserve"> </w:t>
    </w:r>
    <w:r>
      <w:t xml:space="preserve">                                                                                                </w:t>
    </w:r>
    <w:sdt>
      <w:sdtPr>
        <w:id w:val="4482869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A645BF6" w14:textId="77777777" w:rsidR="00B22B20" w:rsidRDefault="00B22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986D44" w14:textId="390DAC9E" w:rsidR="00B22B20" w:rsidRDefault="008153F8">
    <w:pPr>
      <w:pStyle w:val="Header"/>
      <w:jc w:val="right"/>
    </w:pPr>
    <w:r>
      <w:t xml:space="preserve">Running head: BANKING REGULATIONS                                                          </w:t>
    </w:r>
    <w:r>
      <w:t xml:space="preserve">              </w:t>
    </w:r>
    <w:sdt>
      <w:sdtPr>
        <w:id w:val="-12058693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863D893" w14:textId="77777777" w:rsidR="00B22B20" w:rsidRDefault="00B22B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MwtjA2Mzc0NjK2MLFU0lEKTi0uzszPAykwqgUAMGEmlSwAAAA="/>
  </w:docVars>
  <w:rsids>
    <w:rsidRoot w:val="0004083F"/>
    <w:rsid w:val="0004083F"/>
    <w:rsid w:val="0010354B"/>
    <w:rsid w:val="00135761"/>
    <w:rsid w:val="00161DA1"/>
    <w:rsid w:val="00162F60"/>
    <w:rsid w:val="005025B6"/>
    <w:rsid w:val="005B121C"/>
    <w:rsid w:val="0060189A"/>
    <w:rsid w:val="008153F8"/>
    <w:rsid w:val="0088097C"/>
    <w:rsid w:val="00911037"/>
    <w:rsid w:val="009B7C6D"/>
    <w:rsid w:val="00A367F8"/>
    <w:rsid w:val="00B22B20"/>
    <w:rsid w:val="00E22540"/>
    <w:rsid w:val="00E5247B"/>
    <w:rsid w:val="00F36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9F0FC-EDE1-4A6A-BC7C-CDFC7D677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25B6"/>
    <w:rPr>
      <w:color w:val="0563C1" w:themeColor="hyperlink"/>
      <w:u w:val="single"/>
    </w:rPr>
  </w:style>
  <w:style w:type="character" w:customStyle="1" w:styleId="UnresolvedMention1">
    <w:name w:val="Unresolved Mention1"/>
    <w:basedOn w:val="DefaultParagraphFont"/>
    <w:uiPriority w:val="99"/>
    <w:semiHidden/>
    <w:unhideWhenUsed/>
    <w:rsid w:val="005025B6"/>
    <w:rPr>
      <w:color w:val="605E5C"/>
      <w:shd w:val="clear" w:color="auto" w:fill="E1DFDD"/>
    </w:rPr>
  </w:style>
  <w:style w:type="paragraph" w:styleId="Header">
    <w:name w:val="header"/>
    <w:basedOn w:val="Normal"/>
    <w:link w:val="HeaderChar"/>
    <w:uiPriority w:val="99"/>
    <w:unhideWhenUsed/>
    <w:rsid w:val="00B22B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B20"/>
  </w:style>
  <w:style w:type="paragraph" w:styleId="Footer">
    <w:name w:val="footer"/>
    <w:basedOn w:val="Normal"/>
    <w:link w:val="FooterChar"/>
    <w:uiPriority w:val="99"/>
    <w:unhideWhenUsed/>
    <w:rsid w:val="00B22B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FB605-6787-484B-9776-FDC5F291E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4560</Words>
  <Characters>25996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2019-03-12T04:57:00Z</dcterms:created>
  <dcterms:modified xsi:type="dcterms:W3CDTF">2019-03-12T04:57:00Z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